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259255BA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915FB5">
        <w:rPr>
          <w:rFonts w:cs="Arial"/>
          <w:color w:val="4472C4" w:themeColor="accent1"/>
          <w:szCs w:val="20"/>
        </w:rPr>
        <w:t>5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5C6E4640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915FB5">
        <w:rPr>
          <w:rFonts w:cs="Arial"/>
          <w:b/>
          <w:bCs/>
          <w:color w:val="4472C4" w:themeColor="accent1"/>
          <w:szCs w:val="20"/>
        </w:rPr>
        <w:t>5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915FB5">
        <w:rPr>
          <w:rFonts w:cs="Arial"/>
          <w:b/>
          <w:bCs/>
          <w:color w:val="4472C4" w:themeColor="accent1"/>
          <w:szCs w:val="20"/>
        </w:rPr>
        <w:t>Melun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6A03FF7D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B8220A">
        <w:rPr>
          <w:rFonts w:eastAsia="Arial" w:cs="Arial"/>
          <w:b/>
          <w:bCs/>
          <w:shd w:val="clear" w:color="auto" w:fill="FFFFFF"/>
        </w:rPr>
        <w:t>1</w:t>
      </w:r>
      <w:r w:rsidR="00915FB5">
        <w:rPr>
          <w:rFonts w:eastAsia="Arial" w:cs="Arial"/>
          <w:b/>
          <w:bCs/>
          <w:shd w:val="clear" w:color="auto" w:fill="FFFFFF"/>
        </w:rPr>
        <w:t>0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19DCA0DA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15FB5">
              <w:rPr>
                <w:rFonts w:cs="Arial"/>
                <w:color w:val="000000"/>
                <w:szCs w:val="20"/>
              </w:rPr>
              <w:t>5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48EF0723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15FB5">
              <w:rPr>
                <w:rFonts w:cs="Arial"/>
                <w:color w:val="000000"/>
                <w:szCs w:val="20"/>
              </w:rPr>
              <w:t>5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5BBF9956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915FB5">
      <w:rPr>
        <w:color w:val="4472C4" w:themeColor="accent1"/>
      </w:rPr>
      <w:t>5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D6BCD"/>
    <w:rsid w:val="00740B3D"/>
    <w:rsid w:val="007B377F"/>
    <w:rsid w:val="00832FE4"/>
    <w:rsid w:val="00867966"/>
    <w:rsid w:val="00872F09"/>
    <w:rsid w:val="00873C20"/>
    <w:rsid w:val="008C220E"/>
    <w:rsid w:val="00915FB5"/>
    <w:rsid w:val="00972CFB"/>
    <w:rsid w:val="009735A5"/>
    <w:rsid w:val="009E5F18"/>
    <w:rsid w:val="009F32D3"/>
    <w:rsid w:val="00B40420"/>
    <w:rsid w:val="00B8220A"/>
    <w:rsid w:val="00CC3267"/>
    <w:rsid w:val="00CE067C"/>
    <w:rsid w:val="00D005BB"/>
    <w:rsid w:val="00D36074"/>
    <w:rsid w:val="00D53D5F"/>
    <w:rsid w:val="00DA2602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1192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22</cp:revision>
  <cp:lastPrinted>2025-09-02T15:57:00Z</cp:lastPrinted>
  <dcterms:created xsi:type="dcterms:W3CDTF">2025-08-20T08:11:00Z</dcterms:created>
  <dcterms:modified xsi:type="dcterms:W3CDTF">2026-01-22T15:19:00Z</dcterms:modified>
</cp:coreProperties>
</file>